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52"/>
          <w:szCs w:val="52"/>
        </w:rPr>
      </w:pPr>
      <w:r w:rsidDel="00000000" w:rsidR="00000000" w:rsidRPr="00000000">
        <w:rPr>
          <w:b w:val="1"/>
          <w:sz w:val="52"/>
          <w:szCs w:val="52"/>
          <w:rtl w:val="0"/>
        </w:rPr>
        <w:t xml:space="preserve">Lernprojekt mit Mario Kart</w:t>
      </w:r>
      <w:r w:rsidDel="00000000" w:rsidR="00000000" w:rsidRPr="00000000">
        <w:rPr>
          <w:sz w:val="52"/>
          <w:szCs w:val="52"/>
          <w:rtl w:val="0"/>
        </w:rPr>
        <w:t xml:space="preserve"> </w:t>
      </w:r>
    </w:p>
    <w:p w:rsidR="00000000" w:rsidDel="00000000" w:rsidP="00000000" w:rsidRDefault="00000000" w:rsidRPr="00000000" w14:paraId="00000002">
      <w:pPr>
        <w:rPr>
          <w:sz w:val="52"/>
          <w:szCs w:val="52"/>
        </w:rPr>
      </w:pPr>
      <w:r w:rsidDel="00000000" w:rsidR="00000000" w:rsidRPr="00000000">
        <w:rPr>
          <w:rtl w:val="0"/>
        </w:rPr>
      </w:r>
    </w:p>
    <w:p w:rsidR="00000000" w:rsidDel="00000000" w:rsidP="00000000" w:rsidRDefault="00000000" w:rsidRPr="00000000" w14:paraId="00000003">
      <w:pPr>
        <w:rPr>
          <w:sz w:val="24"/>
          <w:szCs w:val="24"/>
        </w:rPr>
      </w:pPr>
      <w:r w:rsidDel="00000000" w:rsidR="00000000" w:rsidRPr="00000000">
        <w:rPr>
          <w:sz w:val="52"/>
          <w:szCs w:val="52"/>
        </w:rPr>
        <w:drawing>
          <wp:inline distB="0" distT="0" distL="0" distR="0">
            <wp:extent cx="411514" cy="411514"/>
            <wp:effectExtent b="0" l="0" r="0" t="0"/>
            <wp:docPr id="8"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411514" cy="411514"/>
                    </a:xfrm>
                    <a:prstGeom prst="rect"/>
                    <a:ln/>
                  </pic:spPr>
                </pic:pic>
              </a:graphicData>
            </a:graphic>
          </wp:inline>
        </w:drawing>
      </w:r>
      <w:r w:rsidDel="00000000" w:rsidR="00000000" w:rsidRPr="00000000">
        <w:rPr>
          <w:sz w:val="24"/>
          <w:szCs w:val="24"/>
          <w:rtl w:val="0"/>
        </w:rPr>
        <w:t xml:space="preserve"> ab 10 Jahren/ ab Klasse 5</w:t>
      </w:r>
    </w:p>
    <w:p w:rsidR="00000000" w:rsidDel="00000000" w:rsidP="00000000" w:rsidRDefault="00000000" w:rsidRPr="00000000" w14:paraId="00000004">
      <w:pPr>
        <w:rPr>
          <w:sz w:val="54"/>
          <w:szCs w:val="54"/>
        </w:rPr>
      </w:pPr>
      <w:r w:rsidDel="00000000" w:rsidR="00000000" w:rsidRPr="00000000">
        <w:rPr/>
        <w:drawing>
          <wp:inline distB="0" distT="0" distL="114300" distR="114300">
            <wp:extent cx="411480" cy="411480"/>
            <wp:effectExtent b="0" l="0" r="0" t="0"/>
            <wp:docPr id="10"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411480" cy="411480"/>
                    </a:xfrm>
                    <a:prstGeom prst="rect"/>
                    <a:ln/>
                  </pic:spPr>
                </pic:pic>
              </a:graphicData>
            </a:graphic>
          </wp:inline>
        </w:drawing>
      </w:r>
      <w:r w:rsidDel="00000000" w:rsidR="00000000" w:rsidRPr="00000000">
        <w:rPr>
          <w:rtl w:val="0"/>
        </w:rPr>
        <w:t xml:space="preserve"> reine </w:t>
      </w:r>
      <w:r w:rsidDel="00000000" w:rsidR="00000000" w:rsidRPr="00000000">
        <w:rPr>
          <w:sz w:val="24"/>
          <w:szCs w:val="24"/>
          <w:rtl w:val="0"/>
        </w:rPr>
        <w:t xml:space="preserve">Spielzeit ca. 45 min / gesamte Projektdauer ca. 4-8 Unterrichtsstunden</w:t>
      </w:r>
      <w:r w:rsidDel="00000000" w:rsidR="00000000" w:rsidRPr="00000000">
        <w:rPr>
          <w:rtl w:val="0"/>
        </w:rPr>
      </w:r>
    </w:p>
    <w:p w:rsidR="00000000" w:rsidDel="00000000" w:rsidP="00000000" w:rsidRDefault="00000000" w:rsidRPr="00000000" w14:paraId="00000005">
      <w:pPr>
        <w:rPr>
          <w:sz w:val="24"/>
          <w:szCs w:val="24"/>
        </w:rPr>
      </w:pPr>
      <w:r w:rsidDel="00000000" w:rsidR="00000000" w:rsidRPr="00000000">
        <w:rPr>
          <w:sz w:val="52"/>
          <w:szCs w:val="52"/>
        </w:rPr>
        <w:drawing>
          <wp:inline distB="0" distT="0" distL="0" distR="0">
            <wp:extent cx="411507" cy="411507"/>
            <wp:effectExtent b="0" l="0" r="0" t="0"/>
            <wp:docPr id="9"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411507" cy="411507"/>
                    </a:xfrm>
                    <a:prstGeom prst="rect"/>
                    <a:ln/>
                  </pic:spPr>
                </pic:pic>
              </a:graphicData>
            </a:graphic>
          </wp:inline>
        </w:drawing>
      </w:r>
      <w:r w:rsidDel="00000000" w:rsidR="00000000" w:rsidRPr="00000000">
        <w:rPr>
          <w:sz w:val="52"/>
          <w:szCs w:val="52"/>
          <w:rtl w:val="0"/>
        </w:rPr>
        <w:t xml:space="preserve"> </w:t>
      </w:r>
      <w:r w:rsidDel="00000000" w:rsidR="00000000" w:rsidRPr="00000000">
        <w:rPr>
          <w:sz w:val="24"/>
          <w:szCs w:val="24"/>
          <w:rtl w:val="0"/>
        </w:rPr>
        <w:t xml:space="preserve">im Unterricht mit der ganzen Klasse</w:t>
      </w:r>
    </w:p>
    <w:p w:rsidR="00000000" w:rsidDel="00000000" w:rsidP="00000000" w:rsidRDefault="00000000" w:rsidRPr="00000000" w14:paraId="00000006">
      <w:pPr>
        <w:rPr>
          <w:sz w:val="24"/>
          <w:szCs w:val="24"/>
        </w:rPr>
      </w:pPr>
      <w:r w:rsidDel="00000000" w:rsidR="00000000" w:rsidRPr="00000000">
        <w:rPr>
          <w:rtl w:val="0"/>
        </w:rPr>
      </w:r>
    </w:p>
    <w:tbl>
      <w:tblPr>
        <w:tblStyle w:val="Table1"/>
        <w:tblW w:w="907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95"/>
        <w:gridCol w:w="6780"/>
        <w:tblGridChange w:id="0">
          <w:tblGrid>
            <w:gridCol w:w="2295"/>
            <w:gridCol w:w="6780"/>
          </w:tblGrid>
        </w:tblGridChange>
      </w:tblGrid>
      <w:tr>
        <w:trPr>
          <w:cantSplit w:val="0"/>
          <w:tblHeader w:val="0"/>
        </w:trPr>
        <w:tc>
          <w:tcPr/>
          <w:p w:rsidR="00000000" w:rsidDel="00000000" w:rsidP="00000000" w:rsidRDefault="00000000" w:rsidRPr="00000000" w14:paraId="00000007">
            <w:pPr>
              <w:rPr>
                <w:sz w:val="44"/>
                <w:szCs w:val="44"/>
              </w:rPr>
            </w:pPr>
            <w:r w:rsidDel="00000000" w:rsidR="00000000" w:rsidRPr="00000000">
              <w:rPr>
                <w:sz w:val="44"/>
                <w:szCs w:val="44"/>
                <w:rtl w:val="0"/>
              </w:rPr>
              <w:t xml:space="preserve">Fächer:</w:t>
            </w:r>
          </w:p>
          <w:p w:rsidR="00000000" w:rsidDel="00000000" w:rsidP="00000000" w:rsidRDefault="00000000" w:rsidRPr="00000000" w14:paraId="00000008">
            <w:pPr>
              <w:rPr>
                <w:sz w:val="44"/>
                <w:szCs w:val="44"/>
              </w:rPr>
            </w:pPr>
            <w:r w:rsidDel="00000000" w:rsidR="00000000" w:rsidRPr="00000000">
              <w:rPr>
                <w:rtl w:val="0"/>
              </w:rPr>
            </w:r>
          </w:p>
        </w:tc>
        <w:tc>
          <w:tcPr/>
          <w:p w:rsidR="00000000" w:rsidDel="00000000" w:rsidP="00000000" w:rsidRDefault="00000000" w:rsidRPr="00000000" w14:paraId="00000009">
            <w:pPr>
              <w:rPr>
                <w:sz w:val="28"/>
                <w:szCs w:val="28"/>
              </w:rPr>
            </w:pPr>
            <w:r w:rsidDel="00000000" w:rsidR="00000000" w:rsidRPr="00000000">
              <w:rPr>
                <w:sz w:val="28"/>
                <w:szCs w:val="28"/>
                <w:rtl w:val="0"/>
              </w:rPr>
              <w:t xml:space="preserve">Deutsch, DaF, Englisch, Französisch, Spanisch, Fremdsprachen, Musik, Kunst, Geschichte, Politik, Erdkunde, Ethik, Philosophie, Wirtschaft, Biologie, Physik usw.</w:t>
            </w:r>
          </w:p>
        </w:tc>
      </w:tr>
      <w:tr>
        <w:trPr>
          <w:cantSplit w:val="0"/>
          <w:tblHeader w:val="0"/>
        </w:trPr>
        <w:tc>
          <w:tcPr/>
          <w:p w:rsidR="00000000" w:rsidDel="00000000" w:rsidP="00000000" w:rsidRDefault="00000000" w:rsidRPr="00000000" w14:paraId="0000000A">
            <w:pPr>
              <w:rPr>
                <w:sz w:val="44"/>
                <w:szCs w:val="44"/>
              </w:rPr>
            </w:pPr>
            <w:r w:rsidDel="00000000" w:rsidR="00000000" w:rsidRPr="00000000">
              <w:rPr>
                <w:sz w:val="44"/>
                <w:szCs w:val="44"/>
                <w:rtl w:val="0"/>
              </w:rPr>
              <w:t xml:space="preserve">Lernen:</w:t>
            </w:r>
          </w:p>
          <w:p w:rsidR="00000000" w:rsidDel="00000000" w:rsidP="00000000" w:rsidRDefault="00000000" w:rsidRPr="00000000" w14:paraId="0000000B">
            <w:pPr>
              <w:rPr>
                <w:sz w:val="44"/>
                <w:szCs w:val="44"/>
              </w:rPr>
            </w:pPr>
            <w:r w:rsidDel="00000000" w:rsidR="00000000" w:rsidRPr="00000000">
              <w:rPr>
                <w:rtl w:val="0"/>
              </w:rPr>
            </w:r>
          </w:p>
        </w:tc>
        <w:tc>
          <w:tcPr/>
          <w:p w:rsidR="00000000" w:rsidDel="00000000" w:rsidP="00000000" w:rsidRDefault="00000000" w:rsidRPr="00000000" w14:paraId="0000000C">
            <w:pPr>
              <w:rPr>
                <w:sz w:val="28"/>
                <w:szCs w:val="28"/>
              </w:rPr>
            </w:pPr>
            <w:r w:rsidDel="00000000" w:rsidR="00000000" w:rsidRPr="00000000">
              <w:rPr>
                <w:sz w:val="28"/>
                <w:szCs w:val="28"/>
                <w:rtl w:val="0"/>
              </w:rPr>
              <w:t xml:space="preserve">in Sprachen: Arbeit mit verschiedenen Textsorten – in anderen Fächern: diverse Anwendungsmöglichkeiten</w:t>
            </w:r>
          </w:p>
        </w:tc>
      </w:tr>
    </w:tbl>
    <w:p w:rsidR="00000000" w:rsidDel="00000000" w:rsidP="00000000" w:rsidRDefault="00000000" w:rsidRPr="00000000" w14:paraId="0000000D">
      <w:pPr>
        <w:rPr>
          <w:sz w:val="24"/>
          <w:szCs w:val="24"/>
        </w:rPr>
      </w:pPr>
      <w:r w:rsidDel="00000000" w:rsidR="00000000" w:rsidRPr="00000000">
        <w:rPr>
          <w:rtl w:val="0"/>
        </w:rPr>
      </w:r>
    </w:p>
    <w:p w:rsidR="00000000" w:rsidDel="00000000" w:rsidP="00000000" w:rsidRDefault="00000000" w:rsidRPr="00000000" w14:paraId="0000000E">
      <w:pPr>
        <w:rPr>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63501</wp:posOffset>
                </wp:positionH>
                <wp:positionV relativeFrom="paragraph">
                  <wp:posOffset>152400</wp:posOffset>
                </wp:positionV>
                <wp:extent cx="5526405" cy="22225"/>
                <wp:effectExtent b="0" l="0" r="0" t="0"/>
                <wp:wrapNone/>
                <wp:docPr id="6" name=""/>
                <a:graphic>
                  <a:graphicData uri="http://schemas.microsoft.com/office/word/2010/wordprocessingShape">
                    <wps:wsp>
                      <wps:cNvCnPr/>
                      <wps:spPr>
                        <a:xfrm>
                          <a:off x="2587560" y="3780000"/>
                          <a:ext cx="5516880" cy="0"/>
                        </a:xfrm>
                        <a:prstGeom prst="straightConnector1">
                          <a:avLst/>
                        </a:prstGeom>
                        <a:noFill/>
                        <a:ln cap="flat" cmpd="sng" w="9525">
                          <a:solidFill>
                            <a:srgbClr val="38D0C2"/>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63501</wp:posOffset>
                </wp:positionH>
                <wp:positionV relativeFrom="paragraph">
                  <wp:posOffset>152400</wp:posOffset>
                </wp:positionV>
                <wp:extent cx="5526405" cy="22225"/>
                <wp:effectExtent b="0" l="0" r="0" t="0"/>
                <wp:wrapNone/>
                <wp:docPr id="6" name="image5.png"/>
                <a:graphic>
                  <a:graphicData uri="http://schemas.openxmlformats.org/drawingml/2006/picture">
                    <pic:pic>
                      <pic:nvPicPr>
                        <pic:cNvPr id="0" name="image5.png"/>
                        <pic:cNvPicPr preferRelativeResize="0"/>
                      </pic:nvPicPr>
                      <pic:blipFill>
                        <a:blip r:embed="rId10"/>
                        <a:srcRect/>
                        <a:stretch>
                          <a:fillRect/>
                        </a:stretch>
                      </pic:blipFill>
                      <pic:spPr>
                        <a:xfrm>
                          <a:off x="0" y="0"/>
                          <a:ext cx="5526405" cy="22225"/>
                        </a:xfrm>
                        <a:prstGeom prst="rect"/>
                        <a:ln/>
                      </pic:spPr>
                    </pic:pic>
                  </a:graphicData>
                </a:graphic>
              </wp:anchor>
            </w:drawing>
          </mc:Fallback>
        </mc:AlternateContent>
      </w:r>
    </w:p>
    <w:p w:rsidR="00000000" w:rsidDel="00000000" w:rsidP="00000000" w:rsidRDefault="00000000" w:rsidRPr="00000000" w14:paraId="0000000F">
      <w:pPr>
        <w:rPr>
          <w:sz w:val="44"/>
          <w:szCs w:val="44"/>
        </w:rPr>
      </w:pPr>
      <w:r w:rsidDel="00000000" w:rsidR="00000000" w:rsidRPr="00000000">
        <w:rPr>
          <w:sz w:val="44"/>
          <w:szCs w:val="44"/>
          <w:rtl w:val="0"/>
        </w:rPr>
        <w:t xml:space="preserve">Worum geht’s?</w:t>
      </w:r>
    </w:p>
    <w:p w:rsidR="00000000" w:rsidDel="00000000" w:rsidP="00000000" w:rsidRDefault="00000000" w:rsidRPr="00000000" w14:paraId="00000010">
      <w:pPr>
        <w:rPr>
          <w:sz w:val="24"/>
          <w:szCs w:val="24"/>
        </w:rPr>
      </w:pPr>
      <w:r w:rsidDel="00000000" w:rsidR="00000000" w:rsidRPr="00000000">
        <w:rPr>
          <w:sz w:val="24"/>
          <w:szCs w:val="24"/>
          <w:rtl w:val="0"/>
        </w:rPr>
        <w:t xml:space="preserve">Bei diesem von der australischen Lehrerin Lynette Camm entwickelten Lernprojekt (s. Links) dient das Spiel Mario Kart als “Anker” für verschiedene Lernaktivitäten, bei denen die Schüler*innen unterschiedliche Textsorten produzieren. In einer Unterrichtsstunde wird ein Mario Kart-Turnier gespielt. Vor, während und nach dieser Stunde verfassen die Schüler*</w:t>
      </w:r>
      <w:r w:rsidDel="00000000" w:rsidR="00000000" w:rsidRPr="00000000">
        <w:rPr>
          <w:sz w:val="24"/>
          <w:szCs w:val="24"/>
          <w:rtl w:val="0"/>
        </w:rPr>
        <w:t xml:space="preserve">innen</w:t>
      </w:r>
      <w:r w:rsidDel="00000000" w:rsidR="00000000" w:rsidRPr="00000000">
        <w:rPr>
          <w:sz w:val="24"/>
          <w:szCs w:val="24"/>
          <w:rtl w:val="0"/>
        </w:rPr>
        <w:t xml:space="preserve"> Texte, die sich mit diesem Ereignis befassen. Durch das Spiel werden die Lernaktivitäten im Rahmen des Projekts in einen größeren und motivierenden Sinnzusammenhang gestellt.</w:t>
      </w:r>
    </w:p>
    <w:p w:rsidR="00000000" w:rsidDel="00000000" w:rsidP="00000000" w:rsidRDefault="00000000" w:rsidRPr="00000000" w14:paraId="00000011">
      <w:pPr>
        <w:rPr>
          <w:sz w:val="24"/>
          <w:szCs w:val="24"/>
        </w:rPr>
      </w:pPr>
      <w:r w:rsidDel="00000000" w:rsidR="00000000" w:rsidRPr="00000000">
        <w:rPr>
          <w:rtl w:val="0"/>
        </w:rPr>
      </w:r>
    </w:p>
    <w:p w:rsidR="00000000" w:rsidDel="00000000" w:rsidP="00000000" w:rsidRDefault="00000000" w:rsidRPr="00000000" w14:paraId="00000012">
      <w:pPr>
        <w:rPr>
          <w:sz w:val="44"/>
          <w:szCs w:val="44"/>
        </w:rPr>
      </w:pPr>
      <w:r w:rsidDel="00000000" w:rsidR="00000000" w:rsidRPr="00000000">
        <w:rPr>
          <w:sz w:val="44"/>
          <w:szCs w:val="44"/>
          <w:rtl w:val="0"/>
        </w:rPr>
        <w:t xml:space="preserve">Was brauchst du?</w:t>
      </w:r>
    </w:p>
    <w:p w:rsidR="00000000" w:rsidDel="00000000" w:rsidP="00000000" w:rsidRDefault="00000000" w:rsidRPr="00000000" w14:paraId="00000013">
      <w:pPr>
        <w:numPr>
          <w:ilvl w:val="0"/>
          <w:numId w:val="4"/>
        </w:numPr>
        <w:spacing w:after="0" w:afterAutospacing="0"/>
        <w:ind w:left="720" w:hanging="360"/>
        <w:rPr>
          <w:sz w:val="24"/>
          <w:szCs w:val="24"/>
          <w:u w:val="none"/>
        </w:rPr>
      </w:pPr>
      <w:r w:rsidDel="00000000" w:rsidR="00000000" w:rsidRPr="00000000">
        <w:rPr>
          <w:sz w:val="24"/>
          <w:szCs w:val="24"/>
          <w:rtl w:val="0"/>
        </w:rPr>
        <w:t xml:space="preserve">in den Stunden vor und nach dem Mario Kart-Turnier herkömmliche Unterrichtsmaterialien für Textarbeit</w:t>
      </w:r>
    </w:p>
    <w:p w:rsidR="00000000" w:rsidDel="00000000" w:rsidP="00000000" w:rsidRDefault="00000000" w:rsidRPr="00000000" w14:paraId="00000014">
      <w:pPr>
        <w:numPr>
          <w:ilvl w:val="0"/>
          <w:numId w:val="4"/>
        </w:numPr>
        <w:spacing w:after="0" w:afterAutospacing="0"/>
        <w:ind w:left="720" w:hanging="360"/>
        <w:rPr>
          <w:sz w:val="24"/>
          <w:szCs w:val="24"/>
          <w:u w:val="none"/>
        </w:rPr>
      </w:pPr>
      <w:r w:rsidDel="00000000" w:rsidR="00000000" w:rsidRPr="00000000">
        <w:rPr>
          <w:sz w:val="24"/>
          <w:szCs w:val="24"/>
          <w:rtl w:val="0"/>
        </w:rPr>
        <w:t xml:space="preserve">am Turniertag ausreichend Nintendo-Hardware und Mario Kart-Spiele; zur Beschaffung kann das BYOD-Prinzip genutzt werden (s. Podcast Folge 021/S3F5); nach Möglichkeit sollten alle das gleiche Spiel spielen, dies ist aber nicht zwingend notwendig.</w:t>
      </w:r>
    </w:p>
    <w:p w:rsidR="00000000" w:rsidDel="00000000" w:rsidP="00000000" w:rsidRDefault="00000000" w:rsidRPr="00000000" w14:paraId="00000015">
      <w:pPr>
        <w:numPr>
          <w:ilvl w:val="0"/>
          <w:numId w:val="4"/>
        </w:numPr>
        <w:ind w:left="720" w:hanging="360"/>
        <w:rPr>
          <w:sz w:val="24"/>
          <w:szCs w:val="24"/>
        </w:rPr>
      </w:pPr>
      <w:r w:rsidDel="00000000" w:rsidR="00000000" w:rsidRPr="00000000">
        <w:rPr>
          <w:sz w:val="24"/>
          <w:szCs w:val="24"/>
          <w:rtl w:val="0"/>
        </w:rPr>
        <w:t xml:space="preserve">Auswahl eines in dem Spiel verfügbaren Turniers, z.B. der Mushroom Cup (Pilzcup)</w:t>
      </w:r>
    </w:p>
    <w:p w:rsidR="00000000" w:rsidDel="00000000" w:rsidP="00000000" w:rsidRDefault="00000000" w:rsidRPr="00000000" w14:paraId="00000016">
      <w:pPr>
        <w:rPr>
          <w:sz w:val="24"/>
          <w:szCs w:val="24"/>
        </w:rPr>
      </w:pPr>
      <w:r w:rsidDel="00000000" w:rsidR="00000000" w:rsidRPr="00000000">
        <w:rPr>
          <w:rtl w:val="0"/>
        </w:rPr>
      </w:r>
    </w:p>
    <w:p w:rsidR="00000000" w:rsidDel="00000000" w:rsidP="00000000" w:rsidRDefault="00000000" w:rsidRPr="00000000" w14:paraId="00000017">
      <w:pPr>
        <w:rPr>
          <w:sz w:val="44"/>
          <w:szCs w:val="44"/>
        </w:rPr>
      </w:pPr>
      <w:r w:rsidDel="00000000" w:rsidR="00000000" w:rsidRPr="00000000">
        <w:rPr>
          <w:sz w:val="44"/>
          <w:szCs w:val="44"/>
          <w:rtl w:val="0"/>
        </w:rPr>
        <w:t xml:space="preserve">Aktivität im Unterricht </w:t>
      </w:r>
    </w:p>
    <w:p w:rsidR="00000000" w:rsidDel="00000000" w:rsidP="00000000" w:rsidRDefault="00000000" w:rsidRPr="00000000" w14:paraId="00000018">
      <w:pPr>
        <w:rPr>
          <w:sz w:val="24"/>
          <w:szCs w:val="24"/>
        </w:rPr>
      </w:pPr>
      <w:r w:rsidDel="00000000" w:rsidR="00000000" w:rsidRPr="00000000">
        <w:rPr>
          <w:sz w:val="24"/>
          <w:szCs w:val="24"/>
          <w:rtl w:val="0"/>
        </w:rPr>
        <w:t xml:space="preserve">Vorab muss eine Unterrichtseinheit entwickelt werden. Dabei sind die Hinweise von Lynette Camm sehr hilfreich (s. Links). Es bietet sich an, Textsorten vor, während und nach dem Spielen anfertigen zu lassen, z.B.</w:t>
      </w:r>
    </w:p>
    <w:p w:rsidR="00000000" w:rsidDel="00000000" w:rsidP="00000000" w:rsidRDefault="00000000" w:rsidRPr="00000000" w14:paraId="00000019">
      <w:pPr>
        <w:ind w:left="720" w:firstLine="0"/>
        <w:rPr>
          <w:sz w:val="24"/>
          <w:szCs w:val="24"/>
        </w:rPr>
      </w:pPr>
      <w:r w:rsidDel="00000000" w:rsidR="00000000" w:rsidRPr="00000000">
        <w:rPr>
          <w:b w:val="1"/>
          <w:sz w:val="24"/>
          <w:szCs w:val="24"/>
          <w:rtl w:val="0"/>
        </w:rPr>
        <w:t xml:space="preserve">Davor</w:t>
      </w:r>
      <w:r w:rsidDel="00000000" w:rsidR="00000000" w:rsidRPr="00000000">
        <w:rPr>
          <w:sz w:val="24"/>
          <w:szCs w:val="24"/>
          <w:rtl w:val="0"/>
        </w:rPr>
        <w:t xml:space="preserve">: Werbung für das Turnier, Ankündigungstexte, Zeitungskommentare und Pro-Contra-Erörterungen</w:t>
      </w:r>
    </w:p>
    <w:p w:rsidR="00000000" w:rsidDel="00000000" w:rsidP="00000000" w:rsidRDefault="00000000" w:rsidRPr="00000000" w14:paraId="0000001A">
      <w:pPr>
        <w:ind w:left="720" w:firstLine="0"/>
        <w:rPr>
          <w:sz w:val="24"/>
          <w:szCs w:val="24"/>
        </w:rPr>
      </w:pPr>
      <w:r w:rsidDel="00000000" w:rsidR="00000000" w:rsidRPr="00000000">
        <w:rPr>
          <w:b w:val="1"/>
          <w:sz w:val="24"/>
          <w:szCs w:val="24"/>
          <w:rtl w:val="0"/>
        </w:rPr>
        <w:t xml:space="preserve">Während</w:t>
      </w:r>
      <w:r w:rsidDel="00000000" w:rsidR="00000000" w:rsidRPr="00000000">
        <w:rPr>
          <w:sz w:val="24"/>
          <w:szCs w:val="24"/>
          <w:rtl w:val="0"/>
        </w:rPr>
        <w:t xml:space="preserve">: in Beobachterrolle oder kurz vor/nach dem Spiel Notizen für eine Spielanleitung anfertigen</w:t>
      </w:r>
    </w:p>
    <w:p w:rsidR="00000000" w:rsidDel="00000000" w:rsidP="00000000" w:rsidRDefault="00000000" w:rsidRPr="00000000" w14:paraId="0000001B">
      <w:pPr>
        <w:ind w:left="720" w:firstLine="0"/>
        <w:rPr>
          <w:sz w:val="24"/>
          <w:szCs w:val="24"/>
        </w:rPr>
      </w:pPr>
      <w:r w:rsidDel="00000000" w:rsidR="00000000" w:rsidRPr="00000000">
        <w:rPr>
          <w:b w:val="1"/>
          <w:sz w:val="24"/>
          <w:szCs w:val="24"/>
          <w:rtl w:val="0"/>
        </w:rPr>
        <w:t xml:space="preserve">Danach</w:t>
      </w:r>
      <w:r w:rsidDel="00000000" w:rsidR="00000000" w:rsidRPr="00000000">
        <w:rPr>
          <w:sz w:val="24"/>
          <w:szCs w:val="24"/>
          <w:rtl w:val="0"/>
        </w:rPr>
        <w:t xml:space="preserve">: Spielanleitung, Bericht/Nacherzählung (aus der Perspektive der Teilnehmenden), Rezension/Review zum Spiel</w:t>
      </w:r>
    </w:p>
    <w:p w:rsidR="00000000" w:rsidDel="00000000" w:rsidP="00000000" w:rsidRDefault="00000000" w:rsidRPr="00000000" w14:paraId="0000001C">
      <w:pPr>
        <w:rPr>
          <w:sz w:val="24"/>
          <w:szCs w:val="24"/>
        </w:rPr>
      </w:pPr>
      <w:r w:rsidDel="00000000" w:rsidR="00000000" w:rsidRPr="00000000">
        <w:rPr>
          <w:sz w:val="24"/>
          <w:szCs w:val="24"/>
          <w:rtl w:val="0"/>
        </w:rPr>
        <w:t xml:space="preserve">Es müssen nicht von allen Schüler*innen alle Textsorten angefertigt werden. Diese können zur Wahl gestellt werden. Außerdem kann das Produktionsformat zur Wahl gestellt werden; je nach Kenntnisstand der Schüler*innen können neben geschriebenen Texten auch Audio-, Video-, grafische oder andere Formate genutzt werden.</w:t>
      </w:r>
    </w:p>
    <w:p w:rsidR="00000000" w:rsidDel="00000000" w:rsidP="00000000" w:rsidRDefault="00000000" w:rsidRPr="00000000" w14:paraId="0000001D">
      <w:pPr>
        <w:rPr>
          <w:sz w:val="24"/>
          <w:szCs w:val="24"/>
        </w:rPr>
      </w:pPr>
      <w:r w:rsidDel="00000000" w:rsidR="00000000" w:rsidRPr="00000000">
        <w:rPr>
          <w:rtl w:val="0"/>
        </w:rPr>
      </w:r>
    </w:p>
    <w:p w:rsidR="00000000" w:rsidDel="00000000" w:rsidP="00000000" w:rsidRDefault="00000000" w:rsidRPr="00000000" w14:paraId="0000001E">
      <w:pPr>
        <w:rPr>
          <w:sz w:val="44"/>
          <w:szCs w:val="44"/>
        </w:rPr>
      </w:pPr>
      <w:r w:rsidDel="00000000" w:rsidR="00000000" w:rsidRPr="00000000">
        <w:rPr>
          <w:sz w:val="44"/>
          <w:szCs w:val="44"/>
          <w:rtl w:val="0"/>
        </w:rPr>
        <w:t xml:space="preserve">Was geht noch? </w:t>
      </w:r>
    </w:p>
    <w:p w:rsidR="00000000" w:rsidDel="00000000" w:rsidP="00000000" w:rsidRDefault="00000000" w:rsidRPr="00000000" w14:paraId="0000001F">
      <w:pPr>
        <w:rPr>
          <w:sz w:val="24"/>
          <w:szCs w:val="24"/>
        </w:rPr>
      </w:pPr>
      <w:r w:rsidDel="00000000" w:rsidR="00000000" w:rsidRPr="00000000">
        <w:rPr>
          <w:sz w:val="24"/>
          <w:szCs w:val="24"/>
          <w:rtl w:val="0"/>
        </w:rPr>
        <w:t xml:space="preserve">Der Spielinhalt dient bei dieser Art Lernprojekt dazu, die Lernaktivitäten in einen größeren Sinnzusammenhang zu stellen. Das Spiel bietet somit eine Art „Anker“ für die Anwendung der Kompetenzen. Dies kann einerseits prinzipiell mit jedem anderen Spiel ebenso gemacht werden (vgl. Scribblenauts in Podcast Folge 021/S3F5). Andererseits kann auch in anderen Fächern ein derartiges Lernprojekt durchgeführt werden. In Fächern wie Musik oder Kunst wäre eine Auseinandersetzung mit den entsprechenden medialen Inhalten eines Spiels denkbar (Analyse oder kreative Arbeit mit Musik, Bild, Animation, etc. im Spiel).</w:t>
      </w:r>
    </w:p>
    <w:p w:rsidR="00000000" w:rsidDel="00000000" w:rsidP="00000000" w:rsidRDefault="00000000" w:rsidRPr="00000000" w14:paraId="00000020">
      <w:pPr>
        <w:rPr>
          <w:sz w:val="24"/>
          <w:szCs w:val="24"/>
        </w:rPr>
      </w:pPr>
      <w:r w:rsidDel="00000000" w:rsidR="00000000" w:rsidRPr="00000000">
        <w:rPr>
          <w:sz w:val="24"/>
          <w:szCs w:val="24"/>
          <w:rtl w:val="0"/>
        </w:rPr>
        <w:t xml:space="preserve">Außerdem können mehrere Spiele für ein Lernprojekt genutzt werden, etwa um auf einzelne Aspekte vergleichend einzugehen (Darstellungen, Spielmechaniken, Umsetzung von Inhalten,...). Außerdem können Spiele mit anderen medialen Umsetzungen (Roman, Film, Hörspiel) oder Quellen (zu einem im Spiel thematisierten Inhalt) verglichen werden.</w:t>
      </w:r>
    </w:p>
    <w:p w:rsidR="00000000" w:rsidDel="00000000" w:rsidP="00000000" w:rsidRDefault="00000000" w:rsidRPr="00000000" w14:paraId="00000021">
      <w:pPr>
        <w:rPr>
          <w:sz w:val="24"/>
          <w:szCs w:val="24"/>
        </w:rPr>
      </w:pPr>
      <w:r w:rsidDel="00000000" w:rsidR="00000000" w:rsidRPr="00000000">
        <w:rPr>
          <w:rtl w:val="0"/>
        </w:rPr>
      </w:r>
    </w:p>
    <w:p w:rsidR="00000000" w:rsidDel="00000000" w:rsidP="00000000" w:rsidRDefault="00000000" w:rsidRPr="00000000" w14:paraId="00000022">
      <w:pPr>
        <w:rPr>
          <w:sz w:val="24"/>
          <w:szCs w:val="24"/>
        </w:rPr>
      </w:pPr>
      <w:r w:rsidDel="00000000" w:rsidR="00000000" w:rsidRPr="00000000">
        <w:rPr>
          <w:rtl w:val="0"/>
        </w:rPr>
      </w:r>
    </w:p>
    <w:p w:rsidR="00000000" w:rsidDel="00000000" w:rsidP="00000000" w:rsidRDefault="00000000" w:rsidRPr="00000000" w14:paraId="00000023">
      <w:pPr>
        <w:rPr>
          <w:sz w:val="24"/>
          <w:szCs w:val="24"/>
        </w:rPr>
      </w:pPr>
      <w:r w:rsidDel="00000000" w:rsidR="00000000" w:rsidRPr="00000000">
        <w:rPr>
          <w:rtl w:val="0"/>
        </w:rPr>
      </w:r>
    </w:p>
    <w:p w:rsidR="00000000" w:rsidDel="00000000" w:rsidP="00000000" w:rsidRDefault="00000000" w:rsidRPr="00000000" w14:paraId="00000024">
      <w:pPr>
        <w:rPr>
          <w:sz w:val="44"/>
          <w:szCs w:val="44"/>
        </w:rPr>
      </w:pPr>
      <w:r w:rsidDel="00000000" w:rsidR="00000000" w:rsidRPr="00000000">
        <w:rPr>
          <w:sz w:val="44"/>
          <w:szCs w:val="44"/>
          <w:rtl w:val="0"/>
        </w:rPr>
        <w:t xml:space="preserve">Hinweise:</w:t>
      </w:r>
    </w:p>
    <w:p w:rsidR="00000000" w:rsidDel="00000000" w:rsidP="00000000" w:rsidRDefault="00000000" w:rsidRPr="00000000" w14:paraId="00000025">
      <w:pPr>
        <w:numPr>
          <w:ilvl w:val="0"/>
          <w:numId w:val="3"/>
        </w:numPr>
        <w:ind w:left="720" w:hanging="360"/>
        <w:rPr>
          <w:sz w:val="24"/>
          <w:szCs w:val="24"/>
        </w:rPr>
      </w:pPr>
      <w:r w:rsidDel="00000000" w:rsidR="00000000" w:rsidRPr="00000000">
        <w:rPr>
          <w:sz w:val="24"/>
          <w:szCs w:val="24"/>
          <w:rtl w:val="0"/>
        </w:rPr>
        <w:t xml:space="preserve">Wichtig ist, dass das Spiel Teil des Lernprozesses ist. Die inhaltliche Kopplung des </w:t>
      </w:r>
      <w:r w:rsidDel="00000000" w:rsidR="00000000" w:rsidRPr="00000000">
        <w:rPr>
          <w:sz w:val="24"/>
          <w:szCs w:val="24"/>
          <w:rtl w:val="0"/>
        </w:rPr>
        <w:t xml:space="preserve">Spielerlebnisses</w:t>
      </w:r>
      <w:r w:rsidDel="00000000" w:rsidR="00000000" w:rsidRPr="00000000">
        <w:rPr>
          <w:sz w:val="24"/>
          <w:szCs w:val="24"/>
          <w:rtl w:val="0"/>
        </w:rPr>
        <w:t xml:space="preserve"> an die Lernaktivitäten (hier Textproduktion) ist entscheidend. Das Spiel </w:t>
      </w:r>
      <w:r w:rsidDel="00000000" w:rsidR="00000000" w:rsidRPr="00000000">
        <w:rPr>
          <w:sz w:val="24"/>
          <w:szCs w:val="24"/>
          <w:rtl w:val="0"/>
        </w:rPr>
        <w:t xml:space="preserve">soll</w:t>
      </w:r>
      <w:r w:rsidDel="00000000" w:rsidR="00000000" w:rsidRPr="00000000">
        <w:rPr>
          <w:sz w:val="24"/>
          <w:szCs w:val="24"/>
          <w:rtl w:val="0"/>
        </w:rPr>
        <w:t xml:space="preserve"> nicht als “Belohnung” eingesetzt werden.</w:t>
      </w:r>
    </w:p>
    <w:p w:rsidR="00000000" w:rsidDel="00000000" w:rsidP="00000000" w:rsidRDefault="00000000" w:rsidRPr="00000000" w14:paraId="00000026">
      <w:pPr>
        <w:numPr>
          <w:ilvl w:val="0"/>
          <w:numId w:val="2"/>
        </w:numPr>
        <w:ind w:left="720" w:hanging="360"/>
        <w:rPr>
          <w:sz w:val="24"/>
          <w:szCs w:val="24"/>
        </w:rPr>
      </w:pPr>
      <w:r w:rsidDel="00000000" w:rsidR="00000000" w:rsidRPr="00000000">
        <w:rPr>
          <w:sz w:val="24"/>
          <w:szCs w:val="24"/>
          <w:rtl w:val="0"/>
        </w:rPr>
        <w:t xml:space="preserve">Vor der Anwendung muss die USK-Angabe der gewählten Mario Kart-Variante geprüft werden, diese muss zwingend zur Lerngruppe passen.</w:t>
      </w:r>
    </w:p>
    <w:p w:rsidR="00000000" w:rsidDel="00000000" w:rsidP="00000000" w:rsidRDefault="00000000" w:rsidRPr="00000000" w14:paraId="00000027">
      <w:pPr>
        <w:rPr>
          <w:sz w:val="24"/>
          <w:szCs w:val="24"/>
        </w:rPr>
      </w:pPr>
      <w:r w:rsidDel="00000000" w:rsidR="00000000" w:rsidRPr="00000000">
        <w:rPr>
          <w:rtl w:val="0"/>
        </w:rPr>
      </w:r>
    </w:p>
    <w:p w:rsidR="00000000" w:rsidDel="00000000" w:rsidP="00000000" w:rsidRDefault="00000000" w:rsidRPr="00000000" w14:paraId="00000028">
      <w:pPr>
        <w:rPr>
          <w:sz w:val="44"/>
          <w:szCs w:val="44"/>
        </w:rPr>
      </w:pPr>
      <w:r w:rsidDel="00000000" w:rsidR="00000000" w:rsidRPr="00000000">
        <w:rPr>
          <w:sz w:val="44"/>
          <w:szCs w:val="44"/>
          <w:rtl w:val="0"/>
        </w:rPr>
        <w:t xml:space="preserve">LINKS:</w:t>
      </w:r>
    </w:p>
    <w:p w:rsidR="00000000" w:rsidDel="00000000" w:rsidP="00000000" w:rsidRDefault="00000000" w:rsidRPr="00000000" w14:paraId="00000029">
      <w:pPr>
        <w:numPr>
          <w:ilvl w:val="0"/>
          <w:numId w:val="1"/>
        </w:numPr>
        <w:spacing w:after="0" w:afterAutospacing="0"/>
        <w:ind w:left="720" w:hanging="360"/>
        <w:rPr>
          <w:sz w:val="24"/>
          <w:szCs w:val="24"/>
          <w:u w:val="none"/>
        </w:rPr>
      </w:pPr>
      <w:r w:rsidDel="00000000" w:rsidR="00000000" w:rsidRPr="00000000">
        <w:rPr>
          <w:sz w:val="24"/>
          <w:szCs w:val="24"/>
          <w:rtl w:val="0"/>
        </w:rPr>
        <w:t xml:space="preserve">Erläuterung der Methode von Lynette Camm in ihrem Blog: </w:t>
      </w:r>
      <w:hyperlink r:id="rId11">
        <w:r w:rsidDel="00000000" w:rsidR="00000000" w:rsidRPr="00000000">
          <w:rPr>
            <w:color w:val="1155cc"/>
            <w:sz w:val="24"/>
            <w:szCs w:val="24"/>
            <w:u w:val="single"/>
            <w:rtl w:val="0"/>
          </w:rPr>
          <w:t xml:space="preserve">https://lynettebarr.wordpress.com/2011/07/12/mario-kart-writing-unit/</w:t>
        </w:r>
      </w:hyperlink>
      <w:r w:rsidDel="00000000" w:rsidR="00000000" w:rsidRPr="00000000">
        <w:rPr>
          <w:rtl w:val="0"/>
        </w:rPr>
      </w:r>
    </w:p>
    <w:p w:rsidR="00000000" w:rsidDel="00000000" w:rsidP="00000000" w:rsidRDefault="00000000" w:rsidRPr="00000000" w14:paraId="0000002A">
      <w:pPr>
        <w:numPr>
          <w:ilvl w:val="0"/>
          <w:numId w:val="1"/>
        </w:numPr>
        <w:ind w:left="720" w:hanging="360"/>
        <w:rPr>
          <w:sz w:val="24"/>
          <w:szCs w:val="24"/>
        </w:rPr>
      </w:pPr>
      <w:r w:rsidDel="00000000" w:rsidR="00000000" w:rsidRPr="00000000">
        <w:rPr>
          <w:sz w:val="24"/>
          <w:szCs w:val="24"/>
          <w:rtl w:val="0"/>
        </w:rPr>
        <w:t xml:space="preserve">Infos zur Nintendo-Videospielreihe Mario Kart bei Wikipedia: </w:t>
      </w:r>
      <w:hyperlink r:id="rId12">
        <w:r w:rsidDel="00000000" w:rsidR="00000000" w:rsidRPr="00000000">
          <w:rPr>
            <w:color w:val="1155cc"/>
            <w:sz w:val="24"/>
            <w:szCs w:val="24"/>
            <w:u w:val="single"/>
            <w:rtl w:val="0"/>
          </w:rPr>
          <w:t xml:space="preserve">https://de.wikipedia.org/wiki/Mario_Kart</w:t>
        </w:r>
      </w:hyperlink>
      <w:r w:rsidDel="00000000" w:rsidR="00000000" w:rsidRPr="00000000">
        <w:rPr>
          <w:rtl w:val="0"/>
        </w:rPr>
      </w:r>
    </w:p>
    <w:sectPr>
      <w:headerReference r:id="rId13" w:type="default"/>
      <w:footerReference r:id="rId14" w:type="default"/>
      <w:pgSz w:h="16838" w:w="11906" w:orient="portrait"/>
      <w:pgMar w:bottom="1134"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spacing w:after="0" w:line="276" w:lineRule="auto"/>
      <w:ind w:firstLine="280"/>
      <w:jc w:val="center"/>
      <w:rPr>
        <w:color w:val="b7b7b7"/>
      </w:rPr>
    </w:pPr>
    <w:r w:rsidDel="00000000" w:rsidR="00000000" w:rsidRPr="00000000">
      <w:rPr>
        <w:color w:val="b7b7b7"/>
        <w:rtl w:val="0"/>
      </w:rPr>
      <w:t xml:space="preserve">CC-BY-SA 4.0: Das spielende Klassenzimmer, </w:t>
    </w:r>
    <w:hyperlink r:id="rId1">
      <w:r w:rsidDel="00000000" w:rsidR="00000000" w:rsidRPr="00000000">
        <w:rPr>
          <w:color w:val="b7b7b7"/>
          <w:u w:val="single"/>
          <w:rtl w:val="0"/>
        </w:rPr>
        <w:t xml:space="preserve">https://das-spielende-klassenzimmer.de/</w:t>
      </w:r>
    </w:hyperlink>
    <w:r w:rsidDel="00000000" w:rsidR="00000000" w:rsidRPr="00000000">
      <w:rPr>
        <w:color w:val="b7b7b7"/>
        <w:rtl w:val="0"/>
      </w:rPr>
      <w:t xml:space="preserve">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4434205</wp:posOffset>
          </wp:positionH>
          <wp:positionV relativeFrom="paragraph">
            <wp:posOffset>-259078</wp:posOffset>
          </wp:positionV>
          <wp:extent cx="2080260" cy="1299845"/>
          <wp:effectExtent b="0" l="0" r="0" t="0"/>
          <wp:wrapSquare wrapText="bothSides" distB="0" distT="0" distL="114300" distR="114300"/>
          <wp:docPr id="7" name="image4.png"/>
          <a:graphic>
            <a:graphicData uri="http://schemas.openxmlformats.org/drawingml/2006/picture">
              <pic:pic>
                <pic:nvPicPr>
                  <pic:cNvPr id="0" name="image4.png"/>
                  <pic:cNvPicPr preferRelativeResize="0"/>
                </pic:nvPicPr>
                <pic:blipFill>
                  <a:blip r:embed="rId1"/>
                  <a:srcRect b="0" l="0" r="0" t="0"/>
                  <a:stretch>
                    <a:fillRect/>
                  </a:stretch>
                </pic:blipFill>
                <pic:spPr>
                  <a:xfrm>
                    <a:off x="0" y="0"/>
                    <a:ext cx="2080260" cy="129984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de-DE"/>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lynettebarr.wordpress.com/2011/07/12/mario-kart-writing-unit/" TargetMode="External"/><Relationship Id="rId10" Type="http://schemas.openxmlformats.org/officeDocument/2006/relationships/image" Target="media/image5.png"/><Relationship Id="rId13" Type="http://schemas.openxmlformats.org/officeDocument/2006/relationships/header" Target="header1.xml"/><Relationship Id="rId12" Type="http://schemas.openxmlformats.org/officeDocument/2006/relationships/hyperlink" Target="https://de.wikipedia.org/wiki/Mario_Kar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https://das-spielende-klassenzimmer.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52xLWIIVHrWcA17TtxsTET3KA/Q==">CgMxLjA4AHIhMTk5YmVuQzBDYktqMy1vZGR1RXJ3Z1hMR1MzSGdEbnVG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